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29F5" w:rsidRDefault="006E29F5" w:rsidP="006E29F5">
      <w:pPr>
        <w:spacing w:line="600" w:lineRule="exact"/>
        <w:jc w:val="center"/>
        <w:rPr>
          <w:rFonts w:ascii="宋体" w:hAnsi="宋体" w:hint="eastAsia"/>
          <w:b/>
          <w:sz w:val="36"/>
          <w:szCs w:val="36"/>
        </w:rPr>
      </w:pPr>
    </w:p>
    <w:p w:rsidR="006E29F5" w:rsidRPr="00EE7960" w:rsidRDefault="006E29F5" w:rsidP="006E29F5">
      <w:pPr>
        <w:spacing w:line="600" w:lineRule="exact"/>
        <w:jc w:val="center"/>
        <w:rPr>
          <w:rFonts w:ascii="宋体" w:hAnsi="宋体"/>
          <w:b/>
          <w:sz w:val="36"/>
          <w:szCs w:val="36"/>
        </w:rPr>
      </w:pPr>
      <w:bookmarkStart w:id="0" w:name="_GoBack"/>
      <w:bookmarkEnd w:id="0"/>
      <w:r w:rsidRPr="00EE7960">
        <w:rPr>
          <w:rFonts w:ascii="宋体" w:hAnsi="宋体"/>
          <w:b/>
          <w:sz w:val="36"/>
          <w:szCs w:val="36"/>
        </w:rPr>
        <w:t>《职业会计组织全球发展报告</w:t>
      </w:r>
      <w:r w:rsidRPr="00EE7960">
        <w:rPr>
          <w:rFonts w:ascii="宋体" w:hAnsi="宋体" w:hint="eastAsia"/>
          <w:b/>
          <w:sz w:val="36"/>
          <w:szCs w:val="36"/>
        </w:rPr>
        <w:t>（</w:t>
      </w:r>
      <w:r w:rsidRPr="00EE7960">
        <w:rPr>
          <w:rFonts w:ascii="宋体" w:hAnsi="宋体"/>
          <w:b/>
          <w:sz w:val="36"/>
          <w:szCs w:val="36"/>
        </w:rPr>
        <w:t>草稿</w:t>
      </w:r>
      <w:r w:rsidRPr="00EE7960">
        <w:rPr>
          <w:rFonts w:ascii="宋体" w:hAnsi="宋体" w:hint="eastAsia"/>
          <w:b/>
          <w:sz w:val="36"/>
          <w:szCs w:val="36"/>
        </w:rPr>
        <w:t>）</w:t>
      </w:r>
      <w:r w:rsidRPr="00EE7960">
        <w:rPr>
          <w:rFonts w:ascii="宋体" w:hAnsi="宋体"/>
          <w:b/>
          <w:sz w:val="36"/>
          <w:szCs w:val="36"/>
        </w:rPr>
        <w:t>》</w:t>
      </w:r>
      <w:r w:rsidRPr="00EE7960">
        <w:rPr>
          <w:rFonts w:ascii="宋体" w:hAnsi="宋体" w:hint="eastAsia"/>
          <w:b/>
          <w:sz w:val="36"/>
          <w:szCs w:val="36"/>
        </w:rPr>
        <w:t>内容摘译</w:t>
      </w:r>
    </w:p>
    <w:p w:rsidR="006E29F5" w:rsidRDefault="006E29F5" w:rsidP="006E29F5">
      <w:pPr>
        <w:spacing w:line="600" w:lineRule="exact"/>
        <w:ind w:firstLineChars="200" w:firstLine="560"/>
        <w:rPr>
          <w:rFonts w:ascii="Times New Roman" w:eastAsia="仿宋" w:hAnsi="Times New Roman" w:hint="eastAsia"/>
          <w:sz w:val="28"/>
          <w:szCs w:val="28"/>
        </w:rPr>
      </w:pPr>
    </w:p>
    <w:p w:rsidR="006E29F5" w:rsidRPr="00EE7960" w:rsidRDefault="006E29F5" w:rsidP="006E29F5">
      <w:pPr>
        <w:spacing w:line="600" w:lineRule="exact"/>
        <w:ind w:firstLineChars="200" w:firstLine="600"/>
        <w:rPr>
          <w:rFonts w:ascii="仿宋" w:eastAsia="仿宋" w:hAnsi="仿宋"/>
          <w:sz w:val="30"/>
          <w:szCs w:val="30"/>
        </w:rPr>
      </w:pPr>
      <w:r w:rsidRPr="00EE7960">
        <w:rPr>
          <w:rFonts w:ascii="仿宋" w:eastAsia="仿宋" w:hAnsi="仿宋"/>
          <w:sz w:val="30"/>
          <w:szCs w:val="30"/>
        </w:rPr>
        <w:t>2012年</w:t>
      </w:r>
      <w:r w:rsidRPr="00EE7960">
        <w:rPr>
          <w:rFonts w:ascii="仿宋" w:eastAsia="仿宋" w:hAnsi="仿宋" w:hint="eastAsia"/>
          <w:sz w:val="30"/>
          <w:szCs w:val="30"/>
        </w:rPr>
        <w:t>2月，国际会计师联合会成立了《加强会计行业发展与合作谅解备忘录》（MOSAIC）</w:t>
      </w:r>
      <w:r w:rsidRPr="00780765">
        <w:rPr>
          <w:rFonts w:ascii="仿宋" w:eastAsia="仿宋" w:hAnsi="仿宋"/>
          <w:sz w:val="30"/>
          <w:szCs w:val="30"/>
          <w:vertAlign w:val="superscript"/>
        </w:rPr>
        <w:footnoteReference w:id="1"/>
      </w:r>
      <w:r w:rsidRPr="00EE7960">
        <w:rPr>
          <w:rFonts w:ascii="仿宋" w:eastAsia="仿宋" w:hAnsi="仿宋" w:hint="eastAsia"/>
          <w:sz w:val="30"/>
          <w:szCs w:val="30"/>
        </w:rPr>
        <w:t>指导委员会，旨在增强成员国职业会计组织的能力，以提高公共部门和私营部门会计和财务管理工作的质量。为实现这一目标，在成立大会上，委员会领导</w:t>
      </w:r>
      <w:proofErr w:type="gramStart"/>
      <w:r w:rsidRPr="00EE7960">
        <w:rPr>
          <w:rFonts w:ascii="仿宋" w:eastAsia="仿宋" w:hAnsi="仿宋" w:hint="eastAsia"/>
          <w:sz w:val="30"/>
          <w:szCs w:val="30"/>
        </w:rPr>
        <w:t>层一致</w:t>
      </w:r>
      <w:proofErr w:type="gramEnd"/>
      <w:r w:rsidRPr="00EE7960">
        <w:rPr>
          <w:rFonts w:ascii="仿宋" w:eastAsia="仿宋" w:hAnsi="仿宋" w:hint="eastAsia"/>
          <w:sz w:val="30"/>
          <w:szCs w:val="30"/>
        </w:rPr>
        <w:t>同意就当前全球职业会计组织的发展状况起草一份高层次的报告。2012年10月，在指导委员会第二次会议上，MOSAIC发布了《职业会计组织全球发展报告（草稿）》（以下简称《报告》）。</w:t>
      </w:r>
    </w:p>
    <w:p w:rsidR="006E29F5" w:rsidRPr="00EE7960" w:rsidRDefault="006E29F5" w:rsidP="006E29F5">
      <w:pPr>
        <w:spacing w:line="600" w:lineRule="exact"/>
        <w:ind w:firstLineChars="200" w:firstLine="600"/>
        <w:rPr>
          <w:rFonts w:ascii="仿宋" w:eastAsia="仿宋" w:hAnsi="仿宋"/>
          <w:sz w:val="30"/>
          <w:szCs w:val="30"/>
        </w:rPr>
      </w:pPr>
      <w:r w:rsidRPr="00EE7960">
        <w:rPr>
          <w:rFonts w:ascii="仿宋" w:eastAsia="仿宋" w:hAnsi="仿宋" w:hint="eastAsia"/>
          <w:sz w:val="30"/>
          <w:szCs w:val="30"/>
        </w:rPr>
        <w:t>《报告》调查了全球职业会计组织的发展趋势、困难和成功因素，旨在向指导委员会委员、观察员或其他利益相关方提供一份关于职业会计组织发展方面的共识，为指导委员会确定MOSAIC的发展方向，设定合作优先顺序，并商定工作方案提供基础。</w:t>
      </w:r>
    </w:p>
    <w:p w:rsidR="006E29F5" w:rsidRPr="00EE7960" w:rsidRDefault="006E29F5" w:rsidP="006E29F5">
      <w:pPr>
        <w:spacing w:line="600" w:lineRule="exact"/>
        <w:ind w:firstLineChars="200" w:firstLine="600"/>
        <w:rPr>
          <w:rFonts w:ascii="黑体" w:eastAsia="黑体" w:hAnsi="黑体"/>
          <w:sz w:val="30"/>
          <w:szCs w:val="30"/>
        </w:rPr>
      </w:pPr>
      <w:r w:rsidRPr="00EE7960">
        <w:rPr>
          <w:rFonts w:ascii="黑体" w:eastAsia="黑体" w:hAnsi="黑体" w:hint="eastAsia"/>
          <w:sz w:val="30"/>
          <w:szCs w:val="30"/>
        </w:rPr>
        <w:t>一、职业会计组织的重要作用</w:t>
      </w:r>
    </w:p>
    <w:p w:rsidR="006E29F5" w:rsidRPr="00EE7960" w:rsidRDefault="006E29F5" w:rsidP="006E29F5">
      <w:pPr>
        <w:spacing w:line="600" w:lineRule="exact"/>
        <w:ind w:firstLineChars="200" w:firstLine="600"/>
        <w:rPr>
          <w:rFonts w:ascii="仿宋" w:eastAsia="仿宋" w:hAnsi="仿宋"/>
          <w:sz w:val="30"/>
          <w:szCs w:val="30"/>
        </w:rPr>
      </w:pPr>
      <w:r w:rsidRPr="00EE7960">
        <w:rPr>
          <w:rFonts w:ascii="仿宋" w:eastAsia="仿宋" w:hAnsi="仿宋" w:hint="eastAsia"/>
          <w:sz w:val="30"/>
          <w:szCs w:val="30"/>
        </w:rPr>
        <w:t>《报告》认为，当职业会计组织拥有适当的能力时，他们能够履行下列职能：</w:t>
      </w:r>
    </w:p>
    <w:p w:rsidR="006E29F5" w:rsidRPr="00EE7960" w:rsidRDefault="006E29F5" w:rsidP="006E29F5">
      <w:pPr>
        <w:spacing w:line="600" w:lineRule="exact"/>
        <w:ind w:firstLineChars="200" w:firstLine="600"/>
        <w:rPr>
          <w:rFonts w:ascii="仿宋" w:eastAsia="仿宋" w:hAnsi="仿宋"/>
          <w:sz w:val="30"/>
          <w:szCs w:val="30"/>
        </w:rPr>
      </w:pPr>
      <w:r w:rsidRPr="00EE7960">
        <w:rPr>
          <w:rFonts w:ascii="仿宋" w:eastAsia="仿宋" w:hAnsi="仿宋" w:hint="eastAsia"/>
          <w:sz w:val="30"/>
          <w:szCs w:val="30"/>
        </w:rPr>
        <w:t>1．服务于公众利益；</w:t>
      </w:r>
    </w:p>
    <w:p w:rsidR="006E29F5" w:rsidRPr="00EE7960" w:rsidRDefault="006E29F5" w:rsidP="006E29F5">
      <w:pPr>
        <w:spacing w:line="600" w:lineRule="exact"/>
        <w:ind w:firstLineChars="200" w:firstLine="600"/>
        <w:rPr>
          <w:rFonts w:ascii="仿宋" w:eastAsia="仿宋" w:hAnsi="仿宋"/>
          <w:sz w:val="30"/>
          <w:szCs w:val="30"/>
        </w:rPr>
      </w:pPr>
      <w:r w:rsidRPr="00EE7960">
        <w:rPr>
          <w:rFonts w:ascii="仿宋" w:eastAsia="仿宋" w:hAnsi="仿宋" w:hint="eastAsia"/>
          <w:sz w:val="30"/>
          <w:szCs w:val="30"/>
        </w:rPr>
        <w:t>2．提高会计职业界的业务水平和胜任能力；</w:t>
      </w:r>
    </w:p>
    <w:p w:rsidR="006E29F5" w:rsidRPr="00EE7960" w:rsidRDefault="006E29F5" w:rsidP="006E29F5">
      <w:pPr>
        <w:spacing w:line="600" w:lineRule="exact"/>
        <w:ind w:firstLineChars="200" w:firstLine="600"/>
        <w:rPr>
          <w:rFonts w:ascii="仿宋" w:eastAsia="仿宋" w:hAnsi="仿宋"/>
          <w:sz w:val="30"/>
          <w:szCs w:val="30"/>
        </w:rPr>
      </w:pPr>
      <w:r w:rsidRPr="00EE7960">
        <w:rPr>
          <w:rFonts w:ascii="仿宋" w:eastAsia="仿宋" w:hAnsi="仿宋" w:hint="eastAsia"/>
          <w:sz w:val="30"/>
          <w:szCs w:val="30"/>
        </w:rPr>
        <w:t>3．制定并实施高质量的职业准则和道德规范；</w:t>
      </w:r>
    </w:p>
    <w:p w:rsidR="006E29F5" w:rsidRPr="00EE7960" w:rsidRDefault="006E29F5" w:rsidP="006E29F5">
      <w:pPr>
        <w:spacing w:line="600" w:lineRule="exact"/>
        <w:ind w:firstLineChars="200" w:firstLine="600"/>
        <w:rPr>
          <w:rFonts w:ascii="仿宋" w:eastAsia="仿宋" w:hAnsi="仿宋"/>
          <w:sz w:val="30"/>
          <w:szCs w:val="30"/>
        </w:rPr>
      </w:pPr>
      <w:r w:rsidRPr="00EE7960">
        <w:rPr>
          <w:rFonts w:ascii="仿宋" w:eastAsia="仿宋" w:hAnsi="仿宋" w:hint="eastAsia"/>
          <w:sz w:val="30"/>
          <w:szCs w:val="30"/>
        </w:rPr>
        <w:t>4．通过教育和培训、质量检查、调查、惩戒等方法提高财</w:t>
      </w:r>
      <w:r w:rsidRPr="00EE7960">
        <w:rPr>
          <w:rFonts w:ascii="仿宋" w:eastAsia="仿宋" w:hAnsi="仿宋" w:hint="eastAsia"/>
          <w:sz w:val="30"/>
          <w:szCs w:val="30"/>
        </w:rPr>
        <w:lastRenderedPageBreak/>
        <w:t>务报告和审计工作的质量；</w:t>
      </w:r>
    </w:p>
    <w:p w:rsidR="006E29F5" w:rsidRPr="00EE7960" w:rsidRDefault="006E29F5" w:rsidP="006E29F5">
      <w:pPr>
        <w:spacing w:line="600" w:lineRule="exact"/>
        <w:ind w:firstLineChars="200" w:firstLine="600"/>
        <w:rPr>
          <w:rFonts w:ascii="仿宋" w:eastAsia="仿宋" w:hAnsi="仿宋"/>
          <w:sz w:val="30"/>
          <w:szCs w:val="30"/>
        </w:rPr>
      </w:pPr>
      <w:r w:rsidRPr="00EE7960">
        <w:rPr>
          <w:rFonts w:ascii="仿宋" w:eastAsia="仿宋" w:hAnsi="仿宋" w:hint="eastAsia"/>
          <w:sz w:val="30"/>
          <w:szCs w:val="30"/>
        </w:rPr>
        <w:t>5．为政府、监管机构和其他利益相关方就会计行业相关问题提供资料。</w:t>
      </w:r>
    </w:p>
    <w:p w:rsidR="006E29F5" w:rsidRPr="00EE7960" w:rsidRDefault="006E29F5" w:rsidP="006E29F5">
      <w:pPr>
        <w:spacing w:line="600" w:lineRule="exact"/>
        <w:ind w:firstLineChars="200" w:firstLine="600"/>
        <w:rPr>
          <w:rFonts w:ascii="仿宋" w:eastAsia="仿宋" w:hAnsi="仿宋"/>
          <w:sz w:val="30"/>
          <w:szCs w:val="30"/>
        </w:rPr>
      </w:pPr>
      <w:r w:rsidRPr="00EE7960">
        <w:rPr>
          <w:rFonts w:ascii="仿宋" w:eastAsia="仿宋" w:hAnsi="仿宋" w:hint="eastAsia"/>
          <w:sz w:val="30"/>
          <w:szCs w:val="30"/>
        </w:rPr>
        <w:t>《报告》指出，职业会计组织构成所在国家或地区财政</w:t>
      </w:r>
      <w:r>
        <w:rPr>
          <w:rFonts w:ascii="仿宋" w:eastAsia="仿宋" w:hAnsi="仿宋" w:hint="eastAsia"/>
          <w:sz w:val="30"/>
          <w:szCs w:val="30"/>
        </w:rPr>
        <w:t>金融</w:t>
      </w:r>
      <w:r w:rsidRPr="00EE7960">
        <w:rPr>
          <w:rFonts w:ascii="仿宋" w:eastAsia="仿宋" w:hAnsi="仿宋" w:hint="eastAsia"/>
          <w:sz w:val="30"/>
          <w:szCs w:val="30"/>
        </w:rPr>
        <w:t>基础设施的有机组成部分，拥有为所在国家、地区以及全球财政、经济和社会发展</w:t>
      </w:r>
      <w:proofErr w:type="gramStart"/>
      <w:r w:rsidRPr="00EE7960">
        <w:rPr>
          <w:rFonts w:ascii="仿宋" w:eastAsia="仿宋" w:hAnsi="仿宋" w:hint="eastAsia"/>
          <w:sz w:val="30"/>
          <w:szCs w:val="30"/>
        </w:rPr>
        <w:t>作出</w:t>
      </w:r>
      <w:proofErr w:type="gramEnd"/>
      <w:r w:rsidRPr="00EE7960">
        <w:rPr>
          <w:rFonts w:ascii="仿宋" w:eastAsia="仿宋" w:hAnsi="仿宋" w:hint="eastAsia"/>
          <w:sz w:val="30"/>
          <w:szCs w:val="30"/>
        </w:rPr>
        <w:t>巨大贡献的潜力。职业会计组织的强大，有利于其所在国家或地区的强大。增强职业会计组织的能力，有助于强化国家机构，将资金捐助转向新兴市场和发展中国家的健康、教育、民生等领域，也有助于提高财务报告、审计和财务管理工作的质量，以实现下列目标：</w:t>
      </w:r>
    </w:p>
    <w:p w:rsidR="006E29F5" w:rsidRPr="00EE7960" w:rsidRDefault="006E29F5" w:rsidP="006E29F5">
      <w:pPr>
        <w:spacing w:line="600" w:lineRule="exact"/>
        <w:ind w:firstLineChars="200" w:firstLine="600"/>
        <w:rPr>
          <w:rFonts w:ascii="仿宋" w:eastAsia="仿宋" w:hAnsi="仿宋"/>
          <w:sz w:val="30"/>
          <w:szCs w:val="30"/>
        </w:rPr>
      </w:pPr>
      <w:r w:rsidRPr="00EE7960">
        <w:rPr>
          <w:rFonts w:ascii="仿宋" w:eastAsia="仿宋" w:hAnsi="仿宋" w:hint="eastAsia"/>
          <w:sz w:val="30"/>
          <w:szCs w:val="30"/>
        </w:rPr>
        <w:t>1．吸引外商直接投资；</w:t>
      </w:r>
    </w:p>
    <w:p w:rsidR="006E29F5" w:rsidRPr="00EE7960" w:rsidRDefault="006E29F5" w:rsidP="006E29F5">
      <w:pPr>
        <w:spacing w:line="600" w:lineRule="exact"/>
        <w:ind w:firstLineChars="200" w:firstLine="600"/>
        <w:rPr>
          <w:rFonts w:ascii="仿宋" w:eastAsia="仿宋" w:hAnsi="仿宋"/>
          <w:sz w:val="30"/>
          <w:szCs w:val="30"/>
        </w:rPr>
      </w:pPr>
      <w:r w:rsidRPr="00EE7960">
        <w:rPr>
          <w:rFonts w:ascii="仿宋" w:eastAsia="仿宋" w:hAnsi="仿宋" w:hint="eastAsia"/>
          <w:sz w:val="30"/>
          <w:szCs w:val="30"/>
        </w:rPr>
        <w:t>2．促进中小型企业的成长和发展；</w:t>
      </w:r>
    </w:p>
    <w:p w:rsidR="006E29F5" w:rsidRPr="00EE7960" w:rsidRDefault="006E29F5" w:rsidP="006E29F5">
      <w:pPr>
        <w:spacing w:line="600" w:lineRule="exact"/>
        <w:ind w:firstLineChars="200" w:firstLine="600"/>
        <w:rPr>
          <w:rFonts w:ascii="仿宋" w:eastAsia="仿宋" w:hAnsi="仿宋"/>
          <w:sz w:val="30"/>
          <w:szCs w:val="30"/>
        </w:rPr>
      </w:pPr>
      <w:r w:rsidRPr="00EE7960">
        <w:rPr>
          <w:rFonts w:ascii="仿宋" w:eastAsia="仿宋" w:hAnsi="仿宋" w:hint="eastAsia"/>
          <w:sz w:val="30"/>
          <w:szCs w:val="30"/>
        </w:rPr>
        <w:t>3．提高公共资金使用的透明度和问责制；</w:t>
      </w:r>
    </w:p>
    <w:p w:rsidR="006E29F5" w:rsidRPr="00EE7960" w:rsidRDefault="006E29F5" w:rsidP="006E29F5">
      <w:pPr>
        <w:spacing w:line="600" w:lineRule="exact"/>
        <w:ind w:firstLineChars="200" w:firstLine="600"/>
        <w:rPr>
          <w:rFonts w:ascii="仿宋" w:eastAsia="仿宋" w:hAnsi="仿宋"/>
          <w:sz w:val="30"/>
          <w:szCs w:val="30"/>
        </w:rPr>
      </w:pPr>
      <w:r w:rsidRPr="00EE7960">
        <w:rPr>
          <w:rFonts w:ascii="仿宋" w:eastAsia="仿宋" w:hAnsi="仿宋" w:hint="eastAsia"/>
          <w:sz w:val="30"/>
          <w:szCs w:val="30"/>
        </w:rPr>
        <w:t>4．促进重要公共服务的计划和实施；</w:t>
      </w:r>
    </w:p>
    <w:p w:rsidR="006E29F5" w:rsidRPr="00EE7960" w:rsidRDefault="006E29F5" w:rsidP="006E29F5">
      <w:pPr>
        <w:spacing w:line="600" w:lineRule="exact"/>
        <w:ind w:firstLineChars="200" w:firstLine="600"/>
        <w:rPr>
          <w:rFonts w:ascii="仿宋" w:eastAsia="仿宋" w:hAnsi="仿宋"/>
          <w:sz w:val="30"/>
          <w:szCs w:val="30"/>
        </w:rPr>
      </w:pPr>
      <w:r w:rsidRPr="00EE7960">
        <w:rPr>
          <w:rFonts w:ascii="仿宋" w:eastAsia="仿宋" w:hAnsi="仿宋" w:hint="eastAsia"/>
          <w:sz w:val="30"/>
          <w:szCs w:val="30"/>
        </w:rPr>
        <w:t>5．提高官方发展援助的效率和效果。</w:t>
      </w:r>
    </w:p>
    <w:p w:rsidR="006E29F5" w:rsidRPr="00EE7960" w:rsidRDefault="006E29F5" w:rsidP="006E29F5">
      <w:pPr>
        <w:spacing w:line="600" w:lineRule="exact"/>
        <w:ind w:firstLineChars="200" w:firstLine="600"/>
        <w:rPr>
          <w:rFonts w:ascii="仿宋" w:eastAsia="仿宋" w:hAnsi="仿宋"/>
          <w:sz w:val="30"/>
          <w:szCs w:val="30"/>
        </w:rPr>
      </w:pPr>
      <w:r w:rsidRPr="00EE7960">
        <w:rPr>
          <w:rFonts w:ascii="仿宋" w:eastAsia="仿宋" w:hAnsi="仿宋" w:hint="eastAsia"/>
          <w:sz w:val="30"/>
          <w:szCs w:val="30"/>
        </w:rPr>
        <w:t>《报告》同时指出，尽管职业会计组织拥有为国家经济和社会发展</w:t>
      </w:r>
      <w:proofErr w:type="gramStart"/>
      <w:r w:rsidRPr="00EE7960">
        <w:rPr>
          <w:rFonts w:ascii="仿宋" w:eastAsia="仿宋" w:hAnsi="仿宋" w:hint="eastAsia"/>
          <w:sz w:val="30"/>
          <w:szCs w:val="30"/>
        </w:rPr>
        <w:t>作出</w:t>
      </w:r>
      <w:proofErr w:type="gramEnd"/>
      <w:r w:rsidRPr="00EE7960">
        <w:rPr>
          <w:rFonts w:ascii="仿宋" w:eastAsia="仿宋" w:hAnsi="仿宋" w:hint="eastAsia"/>
          <w:sz w:val="30"/>
          <w:szCs w:val="30"/>
        </w:rPr>
        <w:t>巨大贡献的潜力，但仍有很多职业会计组织难以完全履行其职能。为此，IFAC、赞助机构，以及职业会计组织提出了职业会计组织能力建设的问题，并通过签署MOSAIC，加强对职业会计组织能力建设工作的支持。本报告的发布，代表MOSAIC在了解全球职业会计组织发展现状，发现困难和探求成功因素方面，迈出了第一步。</w:t>
      </w:r>
    </w:p>
    <w:p w:rsidR="006E29F5" w:rsidRPr="00EE7960" w:rsidRDefault="006E29F5" w:rsidP="006E29F5">
      <w:pPr>
        <w:spacing w:line="600" w:lineRule="exact"/>
        <w:ind w:firstLineChars="200" w:firstLine="600"/>
        <w:rPr>
          <w:rFonts w:ascii="黑体" w:eastAsia="黑体" w:hAnsi="黑体"/>
          <w:sz w:val="30"/>
          <w:szCs w:val="30"/>
        </w:rPr>
      </w:pPr>
      <w:r w:rsidRPr="00EE7960">
        <w:rPr>
          <w:rFonts w:ascii="黑体" w:eastAsia="黑体" w:hAnsi="黑体" w:hint="eastAsia"/>
          <w:sz w:val="30"/>
          <w:szCs w:val="30"/>
        </w:rPr>
        <w:t>二、职业会计组织发展中的十大关键领域</w:t>
      </w:r>
    </w:p>
    <w:p w:rsidR="006E29F5" w:rsidRPr="00EE7960" w:rsidRDefault="006E29F5" w:rsidP="006E29F5">
      <w:pPr>
        <w:spacing w:line="600" w:lineRule="exact"/>
        <w:ind w:firstLineChars="200" w:firstLine="600"/>
        <w:rPr>
          <w:rFonts w:ascii="仿宋" w:eastAsia="仿宋" w:hAnsi="仿宋"/>
          <w:sz w:val="30"/>
          <w:szCs w:val="30"/>
        </w:rPr>
      </w:pPr>
      <w:r w:rsidRPr="00EE7960">
        <w:rPr>
          <w:rFonts w:ascii="仿宋" w:eastAsia="仿宋" w:hAnsi="仿宋" w:hint="eastAsia"/>
          <w:sz w:val="30"/>
          <w:szCs w:val="30"/>
        </w:rPr>
        <w:lastRenderedPageBreak/>
        <w:t>《报告》总结了调查研究中的重大发现，这些发现为MOSAIC发展和增强职业会计组织指明了方向。根据这些发现，《报告》认为，MOSAIC应当优先致力于下列十大关键领域，以帮助职业会计组织释放其全部潜能：</w:t>
      </w:r>
    </w:p>
    <w:p w:rsidR="006E29F5" w:rsidRPr="00EE7960" w:rsidRDefault="006E29F5" w:rsidP="006E29F5">
      <w:pPr>
        <w:spacing w:line="600" w:lineRule="exact"/>
        <w:ind w:firstLineChars="200" w:firstLine="600"/>
        <w:rPr>
          <w:rFonts w:ascii="仿宋" w:eastAsia="仿宋" w:hAnsi="仿宋"/>
          <w:sz w:val="30"/>
          <w:szCs w:val="30"/>
        </w:rPr>
      </w:pPr>
      <w:r w:rsidRPr="00EE7960">
        <w:rPr>
          <w:rFonts w:ascii="仿宋" w:eastAsia="仿宋" w:hAnsi="仿宋" w:hint="eastAsia"/>
          <w:sz w:val="30"/>
          <w:szCs w:val="30"/>
        </w:rPr>
        <w:t>1．系统推动职业会计组织的发展。职业会计组织与国家</w:t>
      </w:r>
      <w:r>
        <w:rPr>
          <w:rFonts w:ascii="仿宋" w:eastAsia="仿宋" w:hAnsi="仿宋" w:hint="eastAsia"/>
          <w:sz w:val="30"/>
          <w:szCs w:val="30"/>
        </w:rPr>
        <w:t>财政金融基础设施</w:t>
      </w:r>
      <w:r w:rsidRPr="00EE7960">
        <w:rPr>
          <w:rFonts w:ascii="仿宋" w:eastAsia="仿宋" w:hAnsi="仿宋" w:hint="eastAsia"/>
          <w:sz w:val="30"/>
          <w:szCs w:val="30"/>
        </w:rPr>
        <w:t>的其他部分之间有着强有力的联系，存在很多可能影响职业会计组织履行其核心职能的动态因素。因此，增强职业会计组织，应当从更广泛的财政法律法规背景下支持职业会计组织的发展。</w:t>
      </w:r>
    </w:p>
    <w:p w:rsidR="006E29F5" w:rsidRPr="00EE7960" w:rsidRDefault="006E29F5" w:rsidP="006E29F5">
      <w:pPr>
        <w:spacing w:line="600" w:lineRule="exact"/>
        <w:ind w:firstLineChars="200" w:firstLine="600"/>
        <w:rPr>
          <w:rFonts w:ascii="仿宋" w:eastAsia="仿宋" w:hAnsi="仿宋"/>
          <w:sz w:val="30"/>
          <w:szCs w:val="30"/>
        </w:rPr>
      </w:pPr>
      <w:r w:rsidRPr="00EE7960">
        <w:rPr>
          <w:rFonts w:ascii="仿宋" w:eastAsia="仿宋" w:hAnsi="仿宋" w:hint="eastAsia"/>
          <w:sz w:val="30"/>
          <w:szCs w:val="30"/>
        </w:rPr>
        <w:t>2．夯实法律和监管基础。会计和审计方面的法律法规，为国际准则的执行和监管提供清晰的制度安排。这些法律法规界定职业会计组织的职责范围，决定职业会计组织在国家</w:t>
      </w:r>
      <w:r>
        <w:rPr>
          <w:rFonts w:ascii="仿宋" w:eastAsia="仿宋" w:hAnsi="仿宋" w:hint="eastAsia"/>
          <w:sz w:val="30"/>
          <w:szCs w:val="30"/>
        </w:rPr>
        <w:t>财政金融基础设施</w:t>
      </w:r>
      <w:r w:rsidRPr="00EE7960">
        <w:rPr>
          <w:rFonts w:ascii="仿宋" w:eastAsia="仿宋" w:hAnsi="仿宋" w:hint="eastAsia"/>
          <w:sz w:val="30"/>
          <w:szCs w:val="30"/>
        </w:rPr>
        <w:t>中的地位。因此，良好的法律和监管环境，能够为职业会计组织的生存和发展提供肥沃的土壤。</w:t>
      </w:r>
    </w:p>
    <w:p w:rsidR="006E29F5" w:rsidRPr="00EE7960" w:rsidRDefault="006E29F5" w:rsidP="006E29F5">
      <w:pPr>
        <w:spacing w:line="600" w:lineRule="exact"/>
        <w:ind w:firstLineChars="200" w:firstLine="600"/>
        <w:rPr>
          <w:rFonts w:ascii="仿宋" w:eastAsia="仿宋" w:hAnsi="仿宋"/>
          <w:sz w:val="30"/>
          <w:szCs w:val="30"/>
        </w:rPr>
      </w:pPr>
      <w:r w:rsidRPr="00EE7960">
        <w:rPr>
          <w:rFonts w:ascii="仿宋" w:eastAsia="仿宋" w:hAnsi="仿宋" w:hint="eastAsia"/>
          <w:sz w:val="30"/>
          <w:szCs w:val="30"/>
        </w:rPr>
        <w:t>3．关注经济薄弱地区会计职业组织的发展，并为其提供支持。目前，仍有一些经济薄弱地区没有职业会计组织，对于这些地区，建立一个稳定的政治环境，重建其基础设施，通常比发展会计职业更加重要。因此，在经济薄弱地区建立和增强职业会计组织，应当以当地为主导。</w:t>
      </w:r>
    </w:p>
    <w:p w:rsidR="006E29F5" w:rsidRPr="00EE7960" w:rsidRDefault="006E29F5" w:rsidP="006E29F5">
      <w:pPr>
        <w:spacing w:line="600" w:lineRule="exact"/>
        <w:ind w:firstLineChars="200" w:firstLine="600"/>
        <w:rPr>
          <w:rFonts w:ascii="仿宋" w:eastAsia="仿宋" w:hAnsi="仿宋"/>
          <w:sz w:val="30"/>
          <w:szCs w:val="30"/>
        </w:rPr>
      </w:pPr>
      <w:r w:rsidRPr="00EE7960">
        <w:rPr>
          <w:rFonts w:ascii="仿宋" w:eastAsia="仿宋" w:hAnsi="仿宋" w:hint="eastAsia"/>
          <w:sz w:val="30"/>
          <w:szCs w:val="30"/>
        </w:rPr>
        <w:t>4．支持职业会计组织“苦练内功”。当前，很多职业会计组织缺少一个明确的运营模式，用于指导该组织的发展、确定关键活动领域、计算工作进度。因此，帮助职业会计组织建立一套健全的管理体制，适当地组织其运营模式，能够有助于更好地发挥</w:t>
      </w:r>
      <w:r w:rsidRPr="00EE7960">
        <w:rPr>
          <w:rFonts w:ascii="仿宋" w:eastAsia="仿宋" w:hAnsi="仿宋" w:hint="eastAsia"/>
          <w:sz w:val="30"/>
          <w:szCs w:val="30"/>
        </w:rPr>
        <w:lastRenderedPageBreak/>
        <w:t>其作用，提高其外在影响力。</w:t>
      </w:r>
    </w:p>
    <w:p w:rsidR="006E29F5" w:rsidRPr="00EE7960" w:rsidRDefault="006E29F5" w:rsidP="006E29F5">
      <w:pPr>
        <w:spacing w:line="600" w:lineRule="exact"/>
        <w:ind w:firstLineChars="200" w:firstLine="600"/>
        <w:rPr>
          <w:rFonts w:ascii="仿宋" w:eastAsia="仿宋" w:hAnsi="仿宋"/>
          <w:sz w:val="30"/>
          <w:szCs w:val="30"/>
        </w:rPr>
      </w:pPr>
      <w:r w:rsidRPr="00EE7960">
        <w:rPr>
          <w:rFonts w:ascii="仿宋" w:eastAsia="仿宋" w:hAnsi="仿宋" w:hint="eastAsia"/>
          <w:sz w:val="30"/>
          <w:szCs w:val="30"/>
        </w:rPr>
        <w:t>5．提高职业会计组织的教育和职业资格认证能力。职业资格认证和终身学习是会计职业的活力之源，能够向经济生活的各个领域输送受过良好教育、经验丰富且技能熟练的专业人员。尽管在这一领域，很多职业会计组织都已取得显著进步，但仍有必要在提高会计职业人员胜任能力，为政府和企业提供更高质量财务信息方面，针对薄弱环节提供更多帮助。</w:t>
      </w:r>
    </w:p>
    <w:p w:rsidR="006E29F5" w:rsidRPr="00EE7960" w:rsidRDefault="006E29F5" w:rsidP="006E29F5">
      <w:pPr>
        <w:spacing w:line="600" w:lineRule="exact"/>
        <w:ind w:firstLineChars="200" w:firstLine="600"/>
        <w:rPr>
          <w:rFonts w:ascii="仿宋" w:eastAsia="仿宋" w:hAnsi="仿宋"/>
          <w:sz w:val="30"/>
          <w:szCs w:val="30"/>
        </w:rPr>
      </w:pPr>
      <w:r w:rsidRPr="00EE7960">
        <w:rPr>
          <w:rFonts w:ascii="仿宋" w:eastAsia="仿宋" w:hAnsi="仿宋" w:hint="eastAsia"/>
          <w:sz w:val="30"/>
          <w:szCs w:val="30"/>
        </w:rPr>
        <w:t>6．扩大职业会计组织的会员基础。职业会计组织拥有广泛的会员基础（如审计师、管理会计师、会计技术人员、财务报表编制人员、公共部门会计师和内部审计师等），有利于满足其专业会员和经济发展的要求。拥有广泛会员基础的行业，能够就行业内不同的重点领域，提供各种教育、评估和实务经验，从而达到提高该行业的目的。尽管某些职业会计组织已经着手扩大其会员基础，仍有必要进一步提高职业会计组织在这方面的认识，并提供必要支持。</w:t>
      </w:r>
    </w:p>
    <w:p w:rsidR="006E29F5" w:rsidRPr="00EE7960" w:rsidRDefault="006E29F5" w:rsidP="006E29F5">
      <w:pPr>
        <w:spacing w:line="600" w:lineRule="exact"/>
        <w:ind w:firstLineChars="200" w:firstLine="600"/>
        <w:rPr>
          <w:rFonts w:ascii="仿宋" w:eastAsia="仿宋" w:hAnsi="仿宋"/>
          <w:sz w:val="30"/>
          <w:szCs w:val="30"/>
        </w:rPr>
      </w:pPr>
      <w:r w:rsidRPr="00EE7960">
        <w:rPr>
          <w:rFonts w:ascii="仿宋" w:eastAsia="仿宋" w:hAnsi="仿宋" w:hint="eastAsia"/>
          <w:sz w:val="30"/>
          <w:szCs w:val="30"/>
        </w:rPr>
        <w:t>7．促进国际准则的实施。国际准则为财务信息的传递提供了一种通用语言，尽管很多职业会计组织已经采纳了国际准则（包括国际审计准则、国际财务报告准则、国际公共部门会计准则、职业会计师道德守则等），但在某些国家，由于翻译上的不足、未能及时更新国家准则、不恰当地修改国际准则，以及实施中的不力等原因，全球会计职业</w:t>
      </w:r>
      <w:proofErr w:type="gramStart"/>
      <w:r w:rsidRPr="00EE7960">
        <w:rPr>
          <w:rFonts w:ascii="仿宋" w:eastAsia="仿宋" w:hAnsi="仿宋" w:hint="eastAsia"/>
          <w:sz w:val="30"/>
          <w:szCs w:val="30"/>
        </w:rPr>
        <w:t>界仍然</w:t>
      </w:r>
      <w:proofErr w:type="gramEnd"/>
      <w:r w:rsidRPr="00EE7960">
        <w:rPr>
          <w:rFonts w:ascii="仿宋" w:eastAsia="仿宋" w:hAnsi="仿宋" w:hint="eastAsia"/>
          <w:sz w:val="30"/>
          <w:szCs w:val="30"/>
        </w:rPr>
        <w:t>未能使用相同的语言。因此，有必要在及时准确地翻译、更新国</w:t>
      </w:r>
      <w:r>
        <w:rPr>
          <w:rFonts w:ascii="仿宋" w:eastAsia="仿宋" w:hAnsi="仿宋" w:hint="eastAsia"/>
          <w:sz w:val="30"/>
          <w:szCs w:val="30"/>
        </w:rPr>
        <w:t>家</w:t>
      </w:r>
      <w:r w:rsidRPr="00EE7960">
        <w:rPr>
          <w:rFonts w:ascii="仿宋" w:eastAsia="仿宋" w:hAnsi="仿宋" w:hint="eastAsia"/>
          <w:sz w:val="30"/>
          <w:szCs w:val="30"/>
        </w:rPr>
        <w:t>准则，以及国际准则的实施等方面，给予职业会计组织适当的帮助。</w:t>
      </w:r>
    </w:p>
    <w:p w:rsidR="006E29F5" w:rsidRPr="00EE7960" w:rsidRDefault="006E29F5" w:rsidP="006E29F5">
      <w:pPr>
        <w:spacing w:line="600" w:lineRule="exact"/>
        <w:ind w:firstLineChars="200" w:firstLine="600"/>
        <w:rPr>
          <w:rFonts w:ascii="仿宋" w:eastAsia="仿宋" w:hAnsi="仿宋"/>
          <w:sz w:val="30"/>
          <w:szCs w:val="30"/>
        </w:rPr>
      </w:pPr>
      <w:r w:rsidRPr="00EE7960">
        <w:rPr>
          <w:rFonts w:ascii="仿宋" w:eastAsia="仿宋" w:hAnsi="仿宋" w:hint="eastAsia"/>
          <w:sz w:val="30"/>
          <w:szCs w:val="30"/>
        </w:rPr>
        <w:lastRenderedPageBreak/>
        <w:t>8．为职业会计组织进入公共部门领域提供支持。尽管已有一些职业会计组织在公共部门领域拥有强大的会员基础，并已在公共部门领域提供服务，仍有很多职业会计组织难以确定如何服务于公共部门领域。因此，为了释放职业会计组织在公共部门会计和公共财务管理方面的潜能，仍需</w:t>
      </w:r>
      <w:proofErr w:type="gramStart"/>
      <w:r w:rsidRPr="00EE7960">
        <w:rPr>
          <w:rFonts w:ascii="仿宋" w:eastAsia="仿宋" w:hAnsi="仿宋" w:hint="eastAsia"/>
          <w:sz w:val="30"/>
          <w:szCs w:val="30"/>
        </w:rPr>
        <w:t>作出</w:t>
      </w:r>
      <w:proofErr w:type="gramEnd"/>
      <w:r w:rsidRPr="00EE7960">
        <w:rPr>
          <w:rFonts w:ascii="仿宋" w:eastAsia="仿宋" w:hAnsi="仿宋" w:hint="eastAsia"/>
          <w:sz w:val="30"/>
          <w:szCs w:val="30"/>
        </w:rPr>
        <w:t>更多努力。</w:t>
      </w:r>
    </w:p>
    <w:p w:rsidR="006E29F5" w:rsidRPr="00EE7960" w:rsidRDefault="006E29F5" w:rsidP="006E29F5">
      <w:pPr>
        <w:spacing w:line="600" w:lineRule="exact"/>
        <w:ind w:firstLineChars="200" w:firstLine="600"/>
        <w:rPr>
          <w:rFonts w:ascii="仿宋" w:eastAsia="仿宋" w:hAnsi="仿宋"/>
          <w:sz w:val="30"/>
          <w:szCs w:val="30"/>
        </w:rPr>
      </w:pPr>
      <w:r w:rsidRPr="00EE7960">
        <w:rPr>
          <w:rFonts w:ascii="仿宋" w:eastAsia="仿宋" w:hAnsi="仿宋" w:hint="eastAsia"/>
          <w:sz w:val="30"/>
          <w:szCs w:val="30"/>
        </w:rPr>
        <w:t>9．强化区域性组织及其提供的服务。区域性职业会计组织能够集合区域内国家层面职业会计组织的知识和技能，为其互相指导和帮助提供机会。当职业会计组织与区域性组织展开合作时，他们通常能够取得更大的发展。因此，强化区域性组织，能够在很大程度上有助于该区域内职业会计组织的发展。</w:t>
      </w:r>
    </w:p>
    <w:p w:rsidR="006E29F5" w:rsidRPr="00EE7960" w:rsidRDefault="006E29F5" w:rsidP="006E29F5">
      <w:pPr>
        <w:spacing w:line="600" w:lineRule="exact"/>
        <w:ind w:firstLineChars="200" w:firstLine="600"/>
        <w:rPr>
          <w:rFonts w:ascii="仿宋" w:eastAsia="仿宋" w:hAnsi="仿宋"/>
          <w:sz w:val="30"/>
          <w:szCs w:val="30"/>
        </w:rPr>
      </w:pPr>
      <w:r w:rsidRPr="00EE7960">
        <w:rPr>
          <w:rFonts w:ascii="仿宋" w:eastAsia="仿宋" w:hAnsi="仿宋" w:hint="eastAsia"/>
          <w:sz w:val="30"/>
          <w:szCs w:val="30"/>
        </w:rPr>
        <w:t>10．促进职业会计组织之间的相互指导。职业会计组织之间的相互指导，有助于知识和人员的交流。因此，促进职业会计组织之间建立持久的相互指导关系，是增强职业会计组织的能力，发展会计行业的有效途径。</w:t>
      </w:r>
    </w:p>
    <w:p w:rsidR="006E29F5" w:rsidRDefault="006E29F5" w:rsidP="006E29F5">
      <w:pPr>
        <w:adjustRightInd w:val="0"/>
        <w:spacing w:line="600" w:lineRule="exact"/>
        <w:rPr>
          <w:rFonts w:ascii="仿宋" w:eastAsia="仿宋" w:hAnsi="仿宋" w:hint="eastAsia"/>
          <w:sz w:val="30"/>
          <w:szCs w:val="30"/>
        </w:rPr>
      </w:pPr>
    </w:p>
    <w:p w:rsidR="006E29F5" w:rsidRPr="00912E49" w:rsidRDefault="006E29F5" w:rsidP="006E29F5">
      <w:pPr>
        <w:spacing w:line="600" w:lineRule="exact"/>
        <w:ind w:firstLineChars="200" w:firstLine="600"/>
        <w:rPr>
          <w:rFonts w:ascii="仿宋" w:eastAsia="仿宋" w:hAnsi="仿宋" w:hint="eastAsia"/>
          <w:sz w:val="30"/>
          <w:szCs w:val="30"/>
        </w:rPr>
      </w:pPr>
      <w:r w:rsidRPr="00912E49">
        <w:rPr>
          <w:rFonts w:ascii="仿宋" w:eastAsia="仿宋" w:hAnsi="仿宋" w:hint="eastAsia"/>
          <w:sz w:val="30"/>
          <w:szCs w:val="30"/>
        </w:rPr>
        <w:t>（本文由中国注册会计师协会专业标准与技术指导部供稿</w:t>
      </w:r>
    </w:p>
    <w:p w:rsidR="006E29F5" w:rsidRPr="00912E49" w:rsidRDefault="006E29F5" w:rsidP="006E29F5">
      <w:pPr>
        <w:spacing w:line="600" w:lineRule="exact"/>
        <w:rPr>
          <w:rFonts w:ascii="仿宋" w:eastAsia="仿宋" w:hAnsi="仿宋" w:hint="eastAsia"/>
          <w:sz w:val="30"/>
          <w:szCs w:val="30"/>
        </w:rPr>
      </w:pPr>
      <w:r w:rsidRPr="00912E49">
        <w:rPr>
          <w:rFonts w:ascii="仿宋" w:eastAsia="仿宋" w:hAnsi="仿宋" w:hint="eastAsia"/>
          <w:sz w:val="30"/>
          <w:szCs w:val="30"/>
        </w:rPr>
        <w:t xml:space="preserve">                          </w:t>
      </w:r>
      <w:r>
        <w:rPr>
          <w:rFonts w:ascii="仿宋" w:eastAsia="仿宋" w:hAnsi="仿宋" w:hint="eastAsia"/>
          <w:sz w:val="30"/>
          <w:szCs w:val="30"/>
        </w:rPr>
        <w:t xml:space="preserve">   </w:t>
      </w:r>
      <w:r w:rsidRPr="00912E49">
        <w:rPr>
          <w:rFonts w:ascii="仿宋" w:eastAsia="仿宋" w:hAnsi="仿宋" w:hint="eastAsia"/>
          <w:sz w:val="30"/>
          <w:szCs w:val="30"/>
        </w:rPr>
        <w:t xml:space="preserve"> 翻译：赵际</w:t>
      </w:r>
      <w:proofErr w:type="gramStart"/>
      <w:r w:rsidRPr="00912E49">
        <w:rPr>
          <w:rFonts w:ascii="仿宋" w:eastAsia="仿宋" w:hAnsi="仿宋" w:hint="eastAsia"/>
          <w:sz w:val="30"/>
          <w:szCs w:val="30"/>
        </w:rPr>
        <w:t>喆</w:t>
      </w:r>
      <w:proofErr w:type="gramEnd"/>
      <w:r w:rsidRPr="00912E49">
        <w:rPr>
          <w:rFonts w:ascii="仿宋" w:eastAsia="仿宋" w:hAnsi="仿宋" w:hint="eastAsia"/>
          <w:sz w:val="30"/>
          <w:szCs w:val="30"/>
        </w:rPr>
        <w:t xml:space="preserve">  审校：唐建华）</w:t>
      </w:r>
    </w:p>
    <w:p w:rsidR="006E29F5" w:rsidRPr="00A52E43" w:rsidRDefault="006E29F5" w:rsidP="006E29F5">
      <w:pPr>
        <w:adjustRightInd w:val="0"/>
        <w:spacing w:line="600" w:lineRule="exact"/>
        <w:rPr>
          <w:rFonts w:ascii="仿宋" w:eastAsia="仿宋" w:hAnsi="仿宋" w:hint="eastAsia"/>
          <w:sz w:val="30"/>
          <w:szCs w:val="30"/>
        </w:rPr>
      </w:pPr>
    </w:p>
    <w:p w:rsidR="006E29F5" w:rsidRPr="00A52E43" w:rsidRDefault="006E29F5" w:rsidP="006E29F5">
      <w:pPr>
        <w:adjustRightInd w:val="0"/>
        <w:spacing w:line="320" w:lineRule="exact"/>
        <w:rPr>
          <w:rFonts w:ascii="仿宋" w:eastAsia="仿宋" w:hAnsi="仿宋" w:hint="eastAsia"/>
          <w:sz w:val="18"/>
          <w:szCs w:val="18"/>
        </w:rPr>
      </w:pPr>
    </w:p>
    <w:p w:rsidR="006E29F5" w:rsidRPr="005C0047" w:rsidRDefault="006E29F5" w:rsidP="006E29F5">
      <w:pPr>
        <w:adjustRightInd w:val="0"/>
        <w:spacing w:line="320" w:lineRule="exact"/>
        <w:jc w:val="center"/>
        <w:rPr>
          <w:rFonts w:ascii="仿宋_GB2312" w:eastAsia="仿宋_GB2312"/>
          <w:sz w:val="28"/>
        </w:rPr>
      </w:pPr>
      <w:r w:rsidRPr="005C0047">
        <w:rPr>
          <w:rFonts w:ascii="仿宋_GB2312" w:eastAsia="仿宋_GB2312" w:hint="eastAsia"/>
          <w:sz w:val="28"/>
        </w:rPr>
        <w:t>─────────────────────────────</w:t>
      </w:r>
    </w:p>
    <w:p w:rsidR="006E29F5" w:rsidRPr="005C0047" w:rsidRDefault="006E29F5" w:rsidP="006E29F5">
      <w:pPr>
        <w:spacing w:line="320" w:lineRule="exact"/>
        <w:ind w:firstLineChars="75" w:firstLine="180"/>
        <w:rPr>
          <w:rFonts w:eastAsia="楷体_GB2312" w:hint="eastAsia"/>
          <w:sz w:val="24"/>
        </w:rPr>
      </w:pPr>
      <w:r w:rsidRPr="005C0047">
        <w:rPr>
          <w:rFonts w:eastAsia="楷体_GB2312" w:hint="eastAsia"/>
          <w:sz w:val="24"/>
        </w:rPr>
        <w:t>未经中国注册会计师协会许可，任何单</w:t>
      </w:r>
      <w:r w:rsidRPr="005C0047">
        <w:rPr>
          <w:rFonts w:eastAsia="楷体_GB2312"/>
          <w:sz w:val="24"/>
        </w:rPr>
        <w:t xml:space="preserve">  </w:t>
      </w:r>
      <w:r w:rsidRPr="005C0047">
        <w:rPr>
          <w:rFonts w:eastAsia="楷体_GB2312" w:hint="eastAsia"/>
          <w:sz w:val="24"/>
        </w:rPr>
        <w:t xml:space="preserve"> </w:t>
      </w:r>
      <w:r w:rsidRPr="005C0047">
        <w:rPr>
          <w:rFonts w:eastAsia="楷体_GB2312" w:hint="eastAsia"/>
          <w:sz w:val="24"/>
        </w:rPr>
        <w:t>地址：北京市海淀区西四环中路</w:t>
      </w:r>
    </w:p>
    <w:p w:rsidR="006E29F5" w:rsidRPr="005C0047" w:rsidRDefault="006E29F5" w:rsidP="006E29F5">
      <w:pPr>
        <w:spacing w:line="320" w:lineRule="exact"/>
        <w:ind w:firstLineChars="75" w:firstLine="180"/>
        <w:rPr>
          <w:rFonts w:eastAsia="楷体_GB2312"/>
          <w:sz w:val="24"/>
        </w:rPr>
      </w:pPr>
      <w:r w:rsidRPr="005C0047">
        <w:rPr>
          <w:rFonts w:eastAsia="楷体_GB2312" w:hint="eastAsia"/>
          <w:sz w:val="24"/>
        </w:rPr>
        <w:t>位或个人不得将本资料用于商业目的。</w:t>
      </w:r>
      <w:r w:rsidRPr="005C0047">
        <w:rPr>
          <w:rFonts w:eastAsia="楷体_GB2312"/>
          <w:sz w:val="24"/>
        </w:rPr>
        <w:t xml:space="preserve">         16</w:t>
      </w:r>
      <w:r w:rsidRPr="005C0047">
        <w:rPr>
          <w:rFonts w:eastAsia="楷体_GB2312" w:hint="eastAsia"/>
          <w:sz w:val="24"/>
        </w:rPr>
        <w:t>号院</w:t>
      </w:r>
      <w:r w:rsidRPr="005C0047">
        <w:rPr>
          <w:rFonts w:eastAsia="楷体_GB2312"/>
          <w:sz w:val="24"/>
        </w:rPr>
        <w:t>2</w:t>
      </w:r>
      <w:r w:rsidRPr="005C0047">
        <w:rPr>
          <w:rFonts w:eastAsia="楷体_GB2312" w:hint="eastAsia"/>
          <w:sz w:val="24"/>
        </w:rPr>
        <w:t>号楼</w:t>
      </w:r>
    </w:p>
    <w:p w:rsidR="006E29F5" w:rsidRPr="005C0047" w:rsidRDefault="006E29F5" w:rsidP="006E29F5">
      <w:pPr>
        <w:spacing w:line="320" w:lineRule="exact"/>
        <w:ind w:firstLineChars="75" w:firstLine="180"/>
        <w:rPr>
          <w:rFonts w:eastAsia="楷体_GB2312"/>
          <w:sz w:val="24"/>
        </w:rPr>
      </w:pPr>
      <w:r w:rsidRPr="005C0047">
        <w:rPr>
          <w:rFonts w:eastAsia="楷体_GB2312" w:hint="eastAsia"/>
          <w:sz w:val="24"/>
        </w:rPr>
        <w:t>作其他目的引用时，请予注明。</w:t>
      </w:r>
      <w:r w:rsidRPr="005C0047">
        <w:rPr>
          <w:rFonts w:eastAsia="楷体_GB2312"/>
          <w:sz w:val="24"/>
        </w:rPr>
        <w:t xml:space="preserve">        </w:t>
      </w:r>
      <w:r w:rsidRPr="005C0047">
        <w:rPr>
          <w:rFonts w:eastAsia="楷体_GB2312" w:hint="eastAsia"/>
          <w:sz w:val="24"/>
        </w:rPr>
        <w:t xml:space="preserve"> </w:t>
      </w:r>
      <w:r w:rsidRPr="005C0047">
        <w:rPr>
          <w:rFonts w:eastAsia="楷体_GB2312" w:hint="eastAsia"/>
          <w:sz w:val="24"/>
        </w:rPr>
        <w:t>邮政编码：</w:t>
      </w:r>
      <w:r w:rsidRPr="005C0047">
        <w:rPr>
          <w:rFonts w:eastAsia="楷体_GB2312"/>
          <w:sz w:val="24"/>
        </w:rPr>
        <w:t>100039</w:t>
      </w:r>
    </w:p>
    <w:p w:rsidR="006E29F5" w:rsidRPr="005C0047" w:rsidRDefault="006E29F5" w:rsidP="006E29F5">
      <w:pPr>
        <w:ind w:firstLineChars="75" w:firstLine="180"/>
        <w:rPr>
          <w:rFonts w:eastAsia="楷体_GB2312" w:hint="eastAsia"/>
          <w:sz w:val="24"/>
        </w:rPr>
      </w:pPr>
      <w:r w:rsidRPr="005C0047">
        <w:rPr>
          <w:rFonts w:eastAsia="楷体_GB2312" w:hint="eastAsia"/>
          <w:sz w:val="24"/>
        </w:rPr>
        <w:t>网址：</w:t>
      </w:r>
      <w:hyperlink r:id="rId7" w:history="1">
        <w:r w:rsidRPr="005C0047">
          <w:rPr>
            <w:rFonts w:eastAsia="楷体_GB2312"/>
            <w:sz w:val="24"/>
          </w:rPr>
          <w:t>http://www.cicpa.org.cn</w:t>
        </w:r>
      </w:hyperlink>
      <w:r w:rsidRPr="005C0047">
        <w:rPr>
          <w:rFonts w:eastAsia="楷体_GB2312"/>
          <w:sz w:val="24"/>
        </w:rPr>
        <w:t xml:space="preserve">  </w:t>
      </w:r>
      <w:r w:rsidRPr="005C0047">
        <w:rPr>
          <w:rFonts w:eastAsia="楷体_GB2312"/>
          <w:b/>
          <w:spacing w:val="12"/>
          <w:sz w:val="24"/>
        </w:rPr>
        <w:t xml:space="preserve">       </w:t>
      </w:r>
      <w:r w:rsidRPr="005C0047">
        <w:rPr>
          <w:rFonts w:eastAsia="楷体_GB2312" w:hint="eastAsia"/>
          <w:b/>
          <w:spacing w:val="12"/>
          <w:sz w:val="24"/>
        </w:rPr>
        <w:t xml:space="preserve"> </w:t>
      </w:r>
      <w:r w:rsidRPr="005C0047">
        <w:rPr>
          <w:rFonts w:eastAsia="楷体_GB2312" w:hint="eastAsia"/>
          <w:sz w:val="24"/>
        </w:rPr>
        <w:t>电子邮箱：</w:t>
      </w:r>
      <w:hyperlink r:id="rId8" w:history="1">
        <w:r w:rsidRPr="005C0047">
          <w:rPr>
            <w:rFonts w:eastAsia="楷体_GB2312"/>
            <w:sz w:val="24"/>
          </w:rPr>
          <w:t>yjzl@cicpa.org.cn</w:t>
        </w:r>
      </w:hyperlink>
    </w:p>
    <w:p w:rsidR="006E29F5" w:rsidRPr="005C0047" w:rsidRDefault="006E29F5" w:rsidP="006E29F5">
      <w:pPr>
        <w:ind w:firstLineChars="75" w:firstLine="180"/>
        <w:rPr>
          <w:rFonts w:eastAsia="楷体_GB2312" w:hint="eastAsia"/>
          <w:sz w:val="24"/>
        </w:rPr>
      </w:pPr>
      <w:r w:rsidRPr="005C0047">
        <w:rPr>
          <w:rFonts w:eastAsia="楷体_GB2312" w:hint="eastAsia"/>
          <w:sz w:val="24"/>
        </w:rPr>
        <w:t>责任编辑：研究发展部</w:t>
      </w:r>
      <w:r w:rsidRPr="005C0047">
        <w:rPr>
          <w:rFonts w:eastAsia="楷体_GB2312" w:hint="eastAsia"/>
          <w:sz w:val="24"/>
        </w:rPr>
        <w:t xml:space="preserve"> </w:t>
      </w:r>
      <w:r w:rsidRPr="005C0047">
        <w:rPr>
          <w:rFonts w:eastAsia="楷体_GB2312" w:hint="eastAsia"/>
          <w:sz w:val="24"/>
        </w:rPr>
        <w:t>冷继凤</w:t>
      </w:r>
      <w:r w:rsidRPr="005C0047">
        <w:rPr>
          <w:rFonts w:eastAsia="楷体_GB2312"/>
          <w:sz w:val="24"/>
        </w:rPr>
        <w:t xml:space="preserve">   </w:t>
      </w:r>
    </w:p>
    <w:p w:rsidR="006E29F5" w:rsidRPr="00F532A7" w:rsidRDefault="006E29F5" w:rsidP="006E29F5">
      <w:pPr>
        <w:adjustRightInd w:val="0"/>
        <w:spacing w:line="320" w:lineRule="exact"/>
        <w:jc w:val="center"/>
        <w:rPr>
          <w:rFonts w:ascii="仿宋_GB2312" w:eastAsia="仿宋_GB2312"/>
          <w:sz w:val="28"/>
        </w:rPr>
      </w:pPr>
      <w:r w:rsidRPr="005C0047">
        <w:rPr>
          <w:rFonts w:ascii="仿宋_GB2312" w:eastAsia="仿宋_GB2312" w:hint="eastAsia"/>
          <w:sz w:val="28"/>
        </w:rPr>
        <w:t>─────────────────────────────</w:t>
      </w:r>
    </w:p>
    <w:p w:rsidR="00F92977" w:rsidRDefault="00F92977"/>
    <w:sectPr w:rsidR="00F92977" w:rsidSect="00562D92">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5CDC" w:rsidRDefault="00C85CDC" w:rsidP="006E29F5">
      <w:r>
        <w:separator/>
      </w:r>
    </w:p>
  </w:endnote>
  <w:endnote w:type="continuationSeparator" w:id="0">
    <w:p w:rsidR="00C85CDC" w:rsidRDefault="00C85CDC" w:rsidP="006E2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5CDC" w:rsidRDefault="00C85CDC" w:rsidP="006E29F5">
      <w:r>
        <w:separator/>
      </w:r>
    </w:p>
  </w:footnote>
  <w:footnote w:type="continuationSeparator" w:id="0">
    <w:p w:rsidR="00C85CDC" w:rsidRDefault="00C85CDC" w:rsidP="006E29F5">
      <w:r>
        <w:continuationSeparator/>
      </w:r>
    </w:p>
  </w:footnote>
  <w:footnote w:id="1">
    <w:p w:rsidR="006E29F5" w:rsidRPr="00936AB7" w:rsidRDefault="006E29F5" w:rsidP="006E29F5">
      <w:pPr>
        <w:pStyle w:val="a5"/>
        <w:rPr>
          <w:rFonts w:ascii="宋体" w:hAnsi="宋体"/>
        </w:rPr>
      </w:pPr>
      <w:r w:rsidRPr="00761F82">
        <w:rPr>
          <w:rStyle w:val="a6"/>
          <w:rFonts w:ascii="仿宋" w:eastAsia="仿宋" w:hAnsi="仿宋"/>
        </w:rPr>
        <w:footnoteRef/>
      </w:r>
      <w:r w:rsidRPr="00761F82">
        <w:rPr>
          <w:rFonts w:ascii="仿宋" w:eastAsia="仿宋" w:hAnsi="仿宋"/>
        </w:rPr>
        <w:t xml:space="preserve"> </w:t>
      </w:r>
      <w:r w:rsidRPr="00936AB7">
        <w:rPr>
          <w:rFonts w:ascii="宋体" w:hAnsi="宋体" w:hint="eastAsia"/>
        </w:rPr>
        <w:t>MOSAIC是IFAC、赞助机构，以及国际发展社区于2011年11月30日签署的一份谅解备忘录，其目标是增强成员国职业会计组织的能力，以提高公共和私营领域会计与财务管理工作的质量，提高捐助资金利用的效率和效果，促进经济增长，减少贫困。</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1CFA"/>
    <w:rsid w:val="00471CFA"/>
    <w:rsid w:val="006E29F5"/>
    <w:rsid w:val="00C85CDC"/>
    <w:rsid w:val="00F929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29F5"/>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E29F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6E29F5"/>
    <w:rPr>
      <w:sz w:val="18"/>
      <w:szCs w:val="18"/>
    </w:rPr>
  </w:style>
  <w:style w:type="paragraph" w:styleId="a4">
    <w:name w:val="footer"/>
    <w:basedOn w:val="a"/>
    <w:link w:val="Char0"/>
    <w:uiPriority w:val="99"/>
    <w:unhideWhenUsed/>
    <w:rsid w:val="006E29F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6E29F5"/>
    <w:rPr>
      <w:sz w:val="18"/>
      <w:szCs w:val="18"/>
    </w:rPr>
  </w:style>
  <w:style w:type="paragraph" w:styleId="a5">
    <w:name w:val="footnote text"/>
    <w:basedOn w:val="a"/>
    <w:link w:val="Char1"/>
    <w:uiPriority w:val="99"/>
    <w:semiHidden/>
    <w:unhideWhenUsed/>
    <w:rsid w:val="006E29F5"/>
    <w:pPr>
      <w:snapToGrid w:val="0"/>
      <w:jc w:val="left"/>
    </w:pPr>
    <w:rPr>
      <w:sz w:val="18"/>
      <w:szCs w:val="18"/>
    </w:rPr>
  </w:style>
  <w:style w:type="character" w:customStyle="1" w:styleId="Char1">
    <w:name w:val="脚注文本 Char"/>
    <w:basedOn w:val="a0"/>
    <w:link w:val="a5"/>
    <w:uiPriority w:val="99"/>
    <w:semiHidden/>
    <w:rsid w:val="006E29F5"/>
    <w:rPr>
      <w:rFonts w:ascii="Calibri" w:eastAsia="宋体" w:hAnsi="Calibri" w:cs="Times New Roman"/>
      <w:sz w:val="18"/>
      <w:szCs w:val="18"/>
    </w:rPr>
  </w:style>
  <w:style w:type="character" w:styleId="a6">
    <w:name w:val="footnote reference"/>
    <w:uiPriority w:val="99"/>
    <w:semiHidden/>
    <w:unhideWhenUsed/>
    <w:rsid w:val="006E29F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29F5"/>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E29F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6E29F5"/>
    <w:rPr>
      <w:sz w:val="18"/>
      <w:szCs w:val="18"/>
    </w:rPr>
  </w:style>
  <w:style w:type="paragraph" w:styleId="a4">
    <w:name w:val="footer"/>
    <w:basedOn w:val="a"/>
    <w:link w:val="Char0"/>
    <w:uiPriority w:val="99"/>
    <w:unhideWhenUsed/>
    <w:rsid w:val="006E29F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6E29F5"/>
    <w:rPr>
      <w:sz w:val="18"/>
      <w:szCs w:val="18"/>
    </w:rPr>
  </w:style>
  <w:style w:type="paragraph" w:styleId="a5">
    <w:name w:val="footnote text"/>
    <w:basedOn w:val="a"/>
    <w:link w:val="Char1"/>
    <w:uiPriority w:val="99"/>
    <w:semiHidden/>
    <w:unhideWhenUsed/>
    <w:rsid w:val="006E29F5"/>
    <w:pPr>
      <w:snapToGrid w:val="0"/>
      <w:jc w:val="left"/>
    </w:pPr>
    <w:rPr>
      <w:sz w:val="18"/>
      <w:szCs w:val="18"/>
    </w:rPr>
  </w:style>
  <w:style w:type="character" w:customStyle="1" w:styleId="Char1">
    <w:name w:val="脚注文本 Char"/>
    <w:basedOn w:val="a0"/>
    <w:link w:val="a5"/>
    <w:uiPriority w:val="99"/>
    <w:semiHidden/>
    <w:rsid w:val="006E29F5"/>
    <w:rPr>
      <w:rFonts w:ascii="Calibri" w:eastAsia="宋体" w:hAnsi="Calibri" w:cs="Times New Roman"/>
      <w:sz w:val="18"/>
      <w:szCs w:val="18"/>
    </w:rPr>
  </w:style>
  <w:style w:type="character" w:styleId="a6">
    <w:name w:val="footnote reference"/>
    <w:uiPriority w:val="99"/>
    <w:semiHidden/>
    <w:unhideWhenUsed/>
    <w:rsid w:val="006E29F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jzl@cicpa.org.cn" TargetMode="External"/><Relationship Id="rId3" Type="http://schemas.openxmlformats.org/officeDocument/2006/relationships/settings" Target="settings.xml"/><Relationship Id="rId7" Type="http://schemas.openxmlformats.org/officeDocument/2006/relationships/hyperlink" Target="http://www.cicpa.org.c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435</Words>
  <Characters>2483</Characters>
  <Application>Microsoft Office Word</Application>
  <DocSecurity>0</DocSecurity>
  <Lines>20</Lines>
  <Paragraphs>5</Paragraphs>
  <ScaleCrop>false</ScaleCrop>
  <Company/>
  <LinksUpToDate>false</LinksUpToDate>
  <CharactersWithSpaces>2913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 Jing Fang</dc:creator>
  <cp:keywords/>
  <dc:description/>
  <cp:lastModifiedBy>Li Jing Fang</cp:lastModifiedBy>
  <cp:revision>2</cp:revision>
  <dcterms:created xsi:type="dcterms:W3CDTF">2012-12-11T05:47:00Z</dcterms:created>
  <dcterms:modified xsi:type="dcterms:W3CDTF">2012-12-11T05:48:00Z</dcterms:modified>
</cp:coreProperties>
</file>